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fontTable+xml" PartName="/word/fontTable.xml"/>
  <Override ContentType="application/vnd.openxmlformats-officedocument.custom-properties+xml" PartName="/docProps/custom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Смілянська міська рада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КОМУНАЛЬНЕ ПІДПРИЄМСТВО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 М І Л А К О М У Н Т Е П Л О Е Н Е Р Г 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вул. В.Чорновола, 72 -А, м. Сміла, Черкаська обл., 20701, код ЄДРПОУ 33648312, т.  2-40-77, e-mail: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skte@ukr.net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«_____»_________2020 р. № ________</w:t>
        <w:tab/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Пояснювальна записка до звіту про виконання фінансового плану за 2019 рік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Комунальне підприємство  « Смілакомунтеплоенерго» , за  організаційно- правовою формою- комунальне підприємство, (надалі по тексту-Підприємство) створене відповідно до Господарського кодексу України, Цивільного кодексу України та Закону  України « Про місцеве самоврядування в Україні».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Вид комунального підприємства – унітарне.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Засновником Підприємства є територіальна  громада  в особі Смілянської міської ради          ( надалі –Власник)  .Уповноважена особа – Управління житлово-комунального господарства виконавчого комітету Смілянської міської ради.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Підприємство  є юридичною особою по законодавству  України, має самостійний баланс, розрахунковий  та інші  рахунки в банківських установах.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Підприємство   несе  відповідальність за своїми зобовя’заннями  в межах  майна, яким  наділяє його Власник (статутним капіталом), згідно з чинним законодавством.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Підприємство має право укладати  угоди,  набувати майнові та  особисті немайнові права, нести обов’язки ,бути позивачем  і відповідачем у суді, господарському  та  третейському суді. Підприємство виконує свою діяльність  на  підставі Статуту, який затверджений  Засновником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Підприємство  створене з метою отримання  прибутку, повного задоволення  потреб з надання житлово-комунальних послуг у сфері теплопостачання для населення, бюджетних установ і організацій  та юридичних осіб, створення та  покращення економічних і соціальних умов трудового колективу  Підприємства.  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Основний вид діяльності Підприємства - це постачання пари, гарячої води та кондиційованого повітря. Також підприємство отримує дохід від здавання в оренду об’єктів комунальної власності, що знаходяться на балансі КП «Смілакомунтеплоенерго», виконує додаткові платні послуги.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Звіт про виконання  фінансового плану  Підприємства за 2019  рік  складено у відповідності до Порядку складання, затвердження та контролю виконання фінансового плану суб’єкта  господарювання  державного сектору  економіки затвердженого наказом Міністерства  економічного розвитку і торгівлі  України  02.03.2015  № 205 із змінами та рішення  виконавчого комітету Смілянської міської ради  від 14.07.2016р. № 284 « Про затвердження  Порядку складання, затвердження та контролю виконання фінансових планів комунальних  підприємств  м. Сміла»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Структура дохідної частини фінансового плану: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Доходи  за  2019 рік  склали   108 496 тис. грн. без ПДВ,    у тому числі: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1. чистий дохід  від реалізації продукції ( товарів, робіт, послуг) 87 576,4  тис.грн., що на 25 433,6 тис. грн. менше ніж  передбачено планом.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Основною причиною зменшення  доходів є те, що  в  плані  враховано 178 діб опалювального сезону, а  по  факту  -155 діб.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2.Інші  операційні  доходи  складають -2724,7  тис.грн. , що на  1225,3 тис. грн. більше ніж  передбачено планом.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Інші  доходи фактично склали 18 170 тис. грн. в плані  не передбачались.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Інші  фінансові  доходи фактично склали 25,0 тис. грн  в плані не передбачались.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Структура  доходів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1.Дохід від наданих послуг з централізованого опалення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-86 859,2 тис.грн. в т.ч.: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Населенню безпосередньо 50 942,2  тис. грн., послуг)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Пільги –  2 439,5 тис. грн.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Субсидії – 5 437,8 тис. грн.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Бюджетним установам – 25 558,3 тис. грн.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Іншим споживачам – 2 481,4  тис. грн.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Доходи від надання інших платних послуг – 717,2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тис. грн.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2.Інші  операційні  доходи  складають -2724,7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тис.грн.   в т.ч.: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Оренда нерухомого майна – 802,8 тис. грн.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Повернення судового збору –   67,2    тис. грн..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Інші доходи (оприбутковано матеріали та необоротні активи) –  737,7 тис. грн.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Дохід від продажу  металобрухту 7,0 тис. грн.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Відшкодування витрат на Чорнобильську відпустку-3,3 тис. грн.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Дохід  від списання кредиторської заборгованості – 1106,7 тис грн.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3. Інші  доходи фактично склали 18 170 тис. грн.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Дохід  від безкоштовно отриманих основних засобів  - 2 056,5 тис. грн.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Безповоротна  фіндопомога облдержадміністрація 15 487,6 тис.грн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Безповоротна  фіндопомога УЖКГ 600,0  тис.грн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Дохід  від  оприбуткованих матеріалів -25,9 тис. грн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4.Дисконтування  фінансових зобов’язань 25,0  тис.грн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Структура  витратної  частини фінансового плану: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цілому витрати по підприємству за 2019 року становлять 81 283 тис. грн. без ПДВ  ,що  на 27 086 тис. грн менше   проти планових   з них операційні  витрати   81 080 тис. грн., що на 27289 тис. грн менше проти планових витрат.        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Собівартість  реалізованих  послуг з централізованого опалення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становить 75 761,2 тис. грн., що на 26 571,8 тис  менше від планових показників. 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Структура собівартості  послуг з централізованого опалення: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Витрати  на  паливо ( природний газ)  -49 877,1 тис. грн.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Електроенергія  - 5 644,9 тис. грн.. 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Водопостачання та водовідведення – 366,1 тис. грн.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Амортизація – 2 426,6 тис. грн.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Оплата праці –  12 455,4 тис. грн.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Відрахування на заробітну  плату – 2 527,0 тис. грн.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Матеріальні витрати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ПММ, канцтовари, матеріали, зап.частини, спец харч.)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995,2 тис. грн..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Покупне тепло – 219,0 тис. грн.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Послуги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(послуги зв’язку, інтернет,   заправка картриджів, ремонт комп’ютерів,  юридичні, судові послуги, програмне забезпечення, послуги банків, послуги з охорони,  страхування автотранспортної техніки, технічне обслуговування обладнання, авто послуги, добові, навчання, інформаційно-консультаційні послуги, комунальні послуги та ін) - 956,7 тис. грн.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Податки ( екологічний , на землю) -293,2 тис.грн.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Адміністративні  витрати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склали 3282,6 тис. грн., що  на 1698,4 тис. грн менше в  порівнянні  з планом.  Зменшення  витрат за  рахунок  3- денного робочого тижня  в  міжопалювальний період.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Витрати на збут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склали  772,2 тис.грн, що  на  17,2 тис. грн. більше  в  порівнянні  з планом, в зв’язку з збільшенням послуг сторонніх організацій ( послуги банків), та  амортизаційних  відрахувань.  Фонд оплати праці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менше в  порівнянні  з планом на 67,3 тис.грн.  за  рахунок  3- денного робочого тижня  в  міжопалювальний період.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Фактичні інші  операційні  витрати  склади 1 264,6 тис. грн. з них: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50% орендної плати до бюджету -25,2 тис.грн.;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Списані матеріали та  основні  засоби – 40,4 тис. грн.;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Списане  ПДВ -94,7 тис. грн.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Амортизація ОЗ – 1,4 тис.грн.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Судові  витрати -775,7 тис.грн.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Пільгова  пенсія – 8,1 тис. грн.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Витрати на  лікарняні – 101,4 тис. грн.;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ЄСВ з лікарняних – 57,9  тис. грн.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Зарплата  по суду – 98,4  тис. грн.;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ЄСВ по суду – 1,0 тис. грн.;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Матеріальна допомога – 59,4  тис.грн.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Інші  витрати ( послуги зв’язку, вивіз побутових відходів, страхування) – 1,0 тис.грн.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Інші  витрати – 203,2 тис.грн.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списання  основних засобів.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Чистий  фінансовий  результат -прибуток за 2019 рік складає – 27 213  тис. грн.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Дебіторська заборгованість за реалізовані послуги з централізованого опалення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станом на 01.01.2020 р. становить   28 466,5  тис. грн.,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що на 3 343,5 тис. грн. у тому числі: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Населення    24 392,3 тис. грн.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ОСББ до 2010 року – 247,4 тис. грн.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Субсидії – 0,0 тис. грн..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Пільги   6,6 тис.грн.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Бюджетні установи – 2 999,8 тис. грн.</w:t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Інші – 820,4 тис. грн.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Кредиторська заборгованість за товари, послуги станом на 01.01.2020 року становить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65 634,7  тис. грн.,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на 21 791,3 тис.грн. менше ніж станом  на 01.01.2019р. 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тому числі: 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ПАТ « Черкасигаз» 50 205,2 тис.грн.  з них: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Балансування  газу 49 060 0 тис. грн.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Розподіл газу  595,9 тис. грн.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Судовий збір 549,3 тис.грн.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</w:t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НАК «Нафтогаз України» 7 900,1 тис.грн.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ДК «Газ України»  4 873,1 тис. грн.</w:t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ДК «Газ України» ( штраф, судовий збір)   808,8 тис. грн.</w: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Смілянський РЕМ, Черкасиенергозбут  1 393,2 тис.грн.</w: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КП» ВодГео»  136,7 тис.грн.</w:t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ТОВ « Промавтоматика» 45,5 тис. грн.</w:t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ТОВ «Сміла- тепло 2017» 43,2 тис. грн.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Інше – 228,9 тис. грн..</w:t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Заборгованість по виплаті заробітної платі та податкам відсятня.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За 2019 рік на рахунки підприємства надійшло 129 038,1 тис. грн.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,( з ПДВ) що на 62777,1 тис.грн. більше ніж в 2018 році з них:</w:t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Населення – 55 107,4 тис. </w:t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Пільги – 3 670,4 тис. грн..</w:t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Субсидії – 9 412,2  тис. грн..</w:t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Бюджетні установи – 28 768,9 тис. грн.</w:t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Кооперативи 36,7 тис.грн.</w:t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Інші – 2 872,2 тис. грн.</w:t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Орендна плата – 978,2 тис. грн.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Інша реалізація – 777,8 тис. грн.</w:t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Повернення  витрат на Чорнобильську  відпустку 5,7 тис. грн.</w:t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Повернення витрат  на лікарняні  та соцстрах 208,7 тис. грн.</w:t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Повернення  судового збору  9,9 тис. грн.</w:t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Повернення коштів  постачальниками 638,6 тис.грн.</w:t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Отримано безповоротну фінансову допомогу 16 087,6 тис. грн.</w:t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Отримано поворотну фінансову допомогу 10 463,8 тис. грн.</w:t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Сплачено за 2019 року за товари, роботи, послуги 133 494,4 тис. грн.: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Виплачено: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заробітної плати – 11 948,5 тис. грн.</w: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707.999999999999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аліментів – 60,0 тис. грн.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707.999999999999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НАК «Нафтогаз» - 61 243,9 тис. грн.</w:t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ПАТ Укртрансгаз  -2 223,4 тис. грн.</w:t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ПАТ « Черкасигаз» -20 181,7 тис.грн.</w:t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ДК» Газ України» - 790,0 тис. грн.</w:t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ТОВ « Черкасиенергозбут» - 3 677,9 тис. грн.</w:t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Смілянський РЕМ «Черкасиобленерго» -1 748,1  тис. грн.</w:t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Сміла-тепло-2017 – 455,2 тис. грн.</w:t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ДП «Черкасистандартметрологія» -111,3 тис. грн.</w:t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ДП « Черкасиекспертний центр» - 49,2 тис. грн.</w:t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Постачальникам з матеріали, роботи та  послуги – 6 546,5 тис. грн.</w:t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Комісія банків, судовий збір, відрядження -305,0 тис. грн.</w:t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Пільгова  пенсія -5,2 тис. грн.</w:t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ПДВ – 4161,5 тис. грн.</w:t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ЄСВ – 3 044,9 тис. грн.</w:t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Податок на доходи фізичних осіб – 2 710,9 тис. грн.</w:t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Військовий збір – 228,3 тис. грн.</w:t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Податок на землю – 128,4 тис. грн.</w:t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Екологічний податок – 157,6 тис. грн.</w:t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50 % оренди до місцевого бюджету – 65,2 тис. грн.</w:t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Проф. внески – 31,3 тис. грн.</w:t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Лікарняні, соцстрах -  0,4 тис. грн.</w:t>
      </w:r>
    </w:p>
    <w:p w:rsidR="00000000" w:rsidDel="00000000" w:rsidP="00000000" w:rsidRDefault="00000000" w:rsidRPr="00000000" w14:paraId="000000A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ДВС м. Київ -1 167,3 тис. грн.</w:t>
      </w:r>
    </w:p>
    <w:p w:rsidR="00000000" w:rsidDel="00000000" w:rsidP="00000000" w:rsidRDefault="00000000" w:rsidRPr="00000000" w14:paraId="000000A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Виконавчий збір  - 220,8 тис.грн.</w:t>
      </w:r>
    </w:p>
    <w:p w:rsidR="00000000" w:rsidDel="00000000" w:rsidP="00000000" w:rsidRDefault="00000000" w:rsidRPr="00000000" w14:paraId="000000A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Виплачена допомога – 63,3 тис.грн.</w:t>
      </w:r>
    </w:p>
    <w:p w:rsidR="00000000" w:rsidDel="00000000" w:rsidP="00000000" w:rsidRDefault="00000000" w:rsidRPr="00000000" w14:paraId="000000A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Поворотна позика працівникам -119,0 тис. грн.</w:t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Переведені борги НАК  Нафтогаз-11 313,6  тис. грн.</w:t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Повернуто зайво перераховані  кошти населенню -41,0 тис. грн.</w:t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Повернуто поворотну фіндопомогу -695,0 тис. грн.</w:t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Капітальні  інвенстиції  на  суму 2945,0 тис. грн. з них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Придбання  основних засобів -198,0 тис. грн.</w:t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Придбання інших необоротних матеріальних активів – 169,0 тис. грн.</w:t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Модернізація  основних засобів   -2578 тис. грн</w:t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Інформація  про персонал та витрати  на оплату  праці: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Середня кількість працівників -148 осіб</w:t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Фонд оплати праці -14 994 тис. грн.</w:t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Середньомісячна заплата одного працівника -8442,5 грн.</w:t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Основною причиною зменшення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доходів і витрат є те, що  в фінансовому плані   враховано 178 діб опалювального сезону, а  по  факту  -155 діб, а  також у зв’язку з відключенням споживачів  від централізованого опалення.</w:t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Населення-  станом на 31.12.2018р 8584 абоненти-376018,7 м2 опалювальної площі</w:t>
      </w:r>
    </w:p>
    <w:p w:rsidR="00000000" w:rsidDel="00000000" w:rsidP="00000000" w:rsidRDefault="00000000" w:rsidRPr="00000000" w14:paraId="000000B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станом на 31.12.2019р 8346 абоненти-365131,7 м2 опалювальної площі</w:t>
      </w:r>
    </w:p>
    <w:p w:rsidR="00000000" w:rsidDel="00000000" w:rsidP="00000000" w:rsidRDefault="00000000" w:rsidRPr="00000000" w14:paraId="000000B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бюджетні установи- відключилась СМСЧ 14- 1470 Гкал,  ЦРЛ1,ЦРЛ-2 – 936 Гкал., відділ освіти -6,7 Гкал.</w:t>
      </w:r>
    </w:p>
    <w:p w:rsidR="00000000" w:rsidDel="00000000" w:rsidP="00000000" w:rsidRDefault="00000000" w:rsidRPr="00000000" w14:paraId="000000B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Інші  споживачі- відключилась  Черкаська  митниця-1,8 Гкал, та редакція міськрадіо-18 Гкал.</w:t>
      </w:r>
    </w:p>
    <w:p w:rsidR="00000000" w:rsidDel="00000000" w:rsidP="00000000" w:rsidRDefault="00000000" w:rsidRPr="00000000" w14:paraId="000000C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Директор КП « Смілакомунтеплоенерго»</w:t>
        <w:tab/>
        <w:tab/>
        <w:tab/>
        <w:tab/>
        <w:t xml:space="preserve">            І.П.Работенко</w:t>
      </w:r>
    </w:p>
    <w:p w:rsidR="00000000" w:rsidDel="00000000" w:rsidP="00000000" w:rsidRDefault="00000000" w:rsidRPr="00000000" w14:paraId="000000C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Головний бухгалтер </w:t>
        <w:tab/>
        <w:tab/>
        <w:tab/>
        <w:tab/>
        <w:tab/>
        <w:tab/>
        <w:tab/>
        <w:t xml:space="preserve">Л.М. Донець</w:t>
      </w:r>
    </w:p>
    <w:p w:rsidR="00000000" w:rsidDel="00000000" w:rsidP="00000000" w:rsidRDefault="00000000" w:rsidRPr="00000000" w14:paraId="000000C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C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Ніна Козлова 2-40-73, 2-40-81</w:t>
      </w:r>
    </w:p>
    <w:sectPr>
      <w:pgSz w:h="16838" w:w="11906"/>
      <w:pgMar w:bottom="1247" w:top="1247" w:left="1304" w:right="90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Звичайний">
    <w:name w:val="Звичайний"/>
    <w:next w:val="Звичайни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Шрифтабзацузапромовчанням">
    <w:name w:val="Шрифт абзацу за промовчанням"/>
    <w:next w:val="Шрифтабзацузапромовчанням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Звичайнатаблиця">
    <w:name w:val="Звичайна таблиця"/>
    <w:next w:val="Звичайнатаблиця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маєсписку">
    <w:name w:val="Немає списку"/>
    <w:next w:val="Немаєсписку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Текст">
    <w:name w:val="Текст"/>
    <w:basedOn w:val="Звичайний"/>
    <w:next w:val="Текст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ru-RU" w:val="ru-RU"/>
    </w:rPr>
  </w:style>
  <w:style w:type="character" w:styleId="ТекстЗнак">
    <w:name w:val="Текст Знак"/>
    <w:next w:val="Текст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Знак">
    <w:name w:val="Знак"/>
    <w:basedOn w:val="Звичайний"/>
    <w:next w:val="Знак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paragraph" w:styleId="Текстувиносці">
    <w:name w:val="Текст у виносці"/>
    <w:basedOn w:val="Звичайний"/>
    <w:next w:val="Текстувиносці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ru-RU" w:val="ru-RU"/>
    </w:rPr>
  </w:style>
  <w:style w:type="character" w:styleId="ТекстувиносціЗнак">
    <w:name w:val="Текст у виносці Знак"/>
    <w:next w:val="ТекстувиносціЗнак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table" w:styleId="Сіткатаблиці">
    <w:name w:val="Сітка таблиці"/>
    <w:basedOn w:val="Звичайнатаблиця"/>
    <w:next w:val="Сіткатаблиці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іткатаблиці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openxmlformats.org/officeDocument/2006/relationships/hyperlink" Target="mailto:skte@ukr.net" TargetMode="Externa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2019-10-25T10:41:00Z</dcterms:created>
  <dc:creator>Тулупова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